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683D" w:rsidRPr="0076260C" w:rsidRDefault="002E683D" w:rsidP="002E683D">
      <w:pPr>
        <w:jc w:val="both"/>
        <w:rPr>
          <w:rFonts w:eastAsia="Times New Roman"/>
          <w:b/>
          <w:bCs/>
          <w:sz w:val="32"/>
          <w:szCs w:val="32"/>
          <w:lang w:val="fr-BE"/>
        </w:rPr>
      </w:pPr>
      <w:r w:rsidRPr="00CF7AB7">
        <w:rPr>
          <w:rFonts w:eastAsia="Times New Roman"/>
          <w:b/>
          <w:bCs/>
          <w:color w:val="000000"/>
          <w:sz w:val="32"/>
          <w:szCs w:val="32"/>
          <w:lang w:val="fr-BE"/>
        </w:rPr>
        <w:t>BDI23009-10012</w:t>
      </w:r>
      <w:r>
        <w:rPr>
          <w:rFonts w:eastAsia="Times New Roman"/>
          <w:b/>
          <w:bCs/>
          <w:color w:val="000000"/>
          <w:sz w:val="32"/>
          <w:szCs w:val="32"/>
          <w:lang w:val="fr-BE"/>
        </w:rPr>
        <w:t xml:space="preserve">- </w:t>
      </w:r>
      <w:r w:rsidRPr="00CF7AB7">
        <w:rPr>
          <w:rFonts w:eastAsia="Times New Roman"/>
          <w:b/>
          <w:bCs/>
          <w:color w:val="000000"/>
          <w:sz w:val="32"/>
          <w:szCs w:val="32"/>
          <w:lang w:val="fr-BE"/>
        </w:rPr>
        <w:t>Structuration de l’offre de formation à destination du personnel d’encadrement des communes et de leurs élus</w:t>
      </w:r>
      <w:r w:rsidRPr="00CF7AB7">
        <w:rPr>
          <w:rFonts w:eastAsia="Times New Roman"/>
          <w:b/>
          <w:bCs/>
          <w:sz w:val="32"/>
          <w:szCs w:val="32"/>
          <w:lang w:val="fr-BE"/>
        </w:rPr>
        <w:t xml:space="preserve"> </w:t>
      </w:r>
      <w:r w:rsidRPr="0076260C">
        <w:rPr>
          <w:sz w:val="24"/>
          <w:szCs w:val="24"/>
          <w:lang w:val="fr-FR"/>
        </w:rPr>
        <w:t xml:space="preserve"> </w:t>
      </w:r>
    </w:p>
    <w:p w:rsidR="002E683D" w:rsidRDefault="002E683D" w:rsidP="002E683D">
      <w:pPr>
        <w:jc w:val="both"/>
        <w:rPr>
          <w:sz w:val="24"/>
          <w:szCs w:val="24"/>
          <w:lang w:val="fr-FR"/>
        </w:rPr>
      </w:pPr>
    </w:p>
    <w:tbl>
      <w:tblPr>
        <w:tblStyle w:val="Grilledutableau"/>
        <w:tblW w:w="0" w:type="auto"/>
        <w:tblLook w:val="04A0" w:firstRow="1" w:lastRow="0" w:firstColumn="1" w:lastColumn="0" w:noHBand="0" w:noVBand="1"/>
      </w:tblPr>
      <w:tblGrid>
        <w:gridCol w:w="7938"/>
        <w:gridCol w:w="5949"/>
      </w:tblGrid>
      <w:tr w:rsidR="002E683D" w:rsidTr="002E683D">
        <w:tc>
          <w:tcPr>
            <w:tcW w:w="7938" w:type="dxa"/>
          </w:tcPr>
          <w:p w:rsidR="002E683D" w:rsidRPr="00884C85" w:rsidRDefault="002E683D" w:rsidP="002E683D">
            <w:pPr>
              <w:jc w:val="both"/>
              <w:rPr>
                <w:sz w:val="24"/>
                <w:szCs w:val="24"/>
                <w:lang w:val="fr-FR"/>
              </w:rPr>
            </w:pPr>
            <w:r>
              <w:rPr>
                <w:sz w:val="24"/>
                <w:szCs w:val="24"/>
                <w:lang w:val="fr-FR"/>
              </w:rPr>
              <w:t>Dernière série de questions</w:t>
            </w:r>
          </w:p>
        </w:tc>
        <w:tc>
          <w:tcPr>
            <w:tcW w:w="5949" w:type="dxa"/>
          </w:tcPr>
          <w:p w:rsidR="002E683D" w:rsidRPr="00B14296" w:rsidRDefault="002E683D" w:rsidP="002E683D">
            <w:pPr>
              <w:jc w:val="both"/>
              <w:rPr>
                <w:color w:val="8EAADB" w:themeColor="accent1" w:themeTint="99"/>
                <w:sz w:val="24"/>
                <w:szCs w:val="24"/>
                <w:lang w:val="fr-FR"/>
              </w:rPr>
            </w:pPr>
            <w:r>
              <w:rPr>
                <w:color w:val="8EAADB" w:themeColor="accent1" w:themeTint="99"/>
                <w:sz w:val="24"/>
                <w:szCs w:val="24"/>
                <w:lang w:val="fr-FR"/>
              </w:rPr>
              <w:t>Réponses</w:t>
            </w:r>
          </w:p>
        </w:tc>
      </w:tr>
      <w:tr w:rsidR="002E683D" w:rsidTr="00783B9F">
        <w:tc>
          <w:tcPr>
            <w:tcW w:w="7938" w:type="dxa"/>
          </w:tcPr>
          <w:p w:rsidR="002E683D" w:rsidRDefault="002E683D" w:rsidP="00783B9F">
            <w:pPr>
              <w:jc w:val="both"/>
              <w:rPr>
                <w:sz w:val="24"/>
                <w:szCs w:val="24"/>
                <w:lang w:val="fr-FR"/>
              </w:rPr>
            </w:pPr>
            <w:r w:rsidRPr="00884C85">
              <w:rPr>
                <w:sz w:val="24"/>
                <w:szCs w:val="24"/>
                <w:lang w:val="fr-FR"/>
              </w:rPr>
              <w:t xml:space="preserve">1. Quelles sont les 5 provinces prioritaires du projet </w:t>
            </w:r>
            <w:proofErr w:type="spellStart"/>
            <w:r w:rsidRPr="00884C85">
              <w:rPr>
                <w:sz w:val="24"/>
                <w:szCs w:val="24"/>
                <w:lang w:val="fr-FR"/>
              </w:rPr>
              <w:t>Enabel</w:t>
            </w:r>
            <w:proofErr w:type="spellEnd"/>
            <w:r w:rsidRPr="00884C85">
              <w:rPr>
                <w:sz w:val="24"/>
                <w:szCs w:val="24"/>
                <w:lang w:val="fr-FR"/>
              </w:rPr>
              <w:t xml:space="preserve"> ?</w:t>
            </w:r>
          </w:p>
          <w:p w:rsidR="002E683D" w:rsidRDefault="002E683D" w:rsidP="00783B9F">
            <w:pPr>
              <w:jc w:val="both"/>
              <w:rPr>
                <w:sz w:val="24"/>
                <w:szCs w:val="24"/>
                <w:lang w:val="fr-FR"/>
              </w:rPr>
            </w:pPr>
          </w:p>
        </w:tc>
        <w:tc>
          <w:tcPr>
            <w:tcW w:w="5949" w:type="dxa"/>
          </w:tcPr>
          <w:p w:rsidR="002E683D" w:rsidRPr="00B14296" w:rsidRDefault="002E683D" w:rsidP="00783B9F">
            <w:pPr>
              <w:jc w:val="both"/>
              <w:rPr>
                <w:color w:val="8EAADB" w:themeColor="accent1" w:themeTint="99"/>
                <w:sz w:val="24"/>
                <w:szCs w:val="24"/>
                <w:lang w:val="fr-FR"/>
              </w:rPr>
            </w:pPr>
            <w:r w:rsidRPr="00B14296">
              <w:rPr>
                <w:color w:val="8EAADB" w:themeColor="accent1" w:themeTint="99"/>
                <w:sz w:val="24"/>
                <w:szCs w:val="24"/>
                <w:lang w:val="fr-FR"/>
              </w:rPr>
              <w:t xml:space="preserve">Les communes d’interventions prioritaires sont : Busoni, </w:t>
            </w:r>
            <w:proofErr w:type="spellStart"/>
            <w:r w:rsidRPr="00B14296">
              <w:rPr>
                <w:color w:val="8EAADB" w:themeColor="accent1" w:themeTint="99"/>
                <w:sz w:val="24"/>
                <w:szCs w:val="24"/>
                <w:lang w:val="fr-FR"/>
              </w:rPr>
              <w:t>Cibitoke</w:t>
            </w:r>
            <w:proofErr w:type="spellEnd"/>
            <w:r w:rsidRPr="00B14296">
              <w:rPr>
                <w:color w:val="8EAADB" w:themeColor="accent1" w:themeTint="99"/>
                <w:sz w:val="24"/>
                <w:szCs w:val="24"/>
                <w:lang w:val="fr-FR"/>
              </w:rPr>
              <w:t xml:space="preserve">, </w:t>
            </w:r>
            <w:proofErr w:type="spellStart"/>
            <w:r w:rsidRPr="00B14296">
              <w:rPr>
                <w:color w:val="8EAADB" w:themeColor="accent1" w:themeTint="99"/>
                <w:sz w:val="24"/>
                <w:szCs w:val="24"/>
                <w:lang w:val="fr-FR"/>
              </w:rPr>
              <w:t>Mugina</w:t>
            </w:r>
            <w:proofErr w:type="spellEnd"/>
            <w:r w:rsidRPr="00B14296">
              <w:rPr>
                <w:color w:val="8EAADB" w:themeColor="accent1" w:themeTint="99"/>
                <w:sz w:val="24"/>
                <w:szCs w:val="24"/>
                <w:lang w:val="fr-FR"/>
              </w:rPr>
              <w:t xml:space="preserve">, </w:t>
            </w:r>
            <w:proofErr w:type="spellStart"/>
            <w:r w:rsidRPr="00B14296">
              <w:rPr>
                <w:color w:val="8EAADB" w:themeColor="accent1" w:themeTint="99"/>
                <w:sz w:val="24"/>
                <w:szCs w:val="24"/>
                <w:lang w:val="fr-FR"/>
              </w:rPr>
              <w:t>Bukinanyana</w:t>
            </w:r>
            <w:proofErr w:type="spellEnd"/>
            <w:r w:rsidRPr="00B14296">
              <w:rPr>
                <w:color w:val="8EAADB" w:themeColor="accent1" w:themeTint="99"/>
                <w:sz w:val="24"/>
                <w:szCs w:val="24"/>
                <w:lang w:val="fr-FR"/>
              </w:rPr>
              <w:t xml:space="preserve">, </w:t>
            </w:r>
            <w:proofErr w:type="spellStart"/>
            <w:r w:rsidRPr="00B14296">
              <w:rPr>
                <w:color w:val="8EAADB" w:themeColor="accent1" w:themeTint="99"/>
                <w:sz w:val="24"/>
                <w:szCs w:val="24"/>
                <w:lang w:val="fr-FR"/>
              </w:rPr>
              <w:t>Kirundo</w:t>
            </w:r>
            <w:proofErr w:type="spellEnd"/>
            <w:r w:rsidRPr="00B14296">
              <w:rPr>
                <w:color w:val="8EAADB" w:themeColor="accent1" w:themeTint="99"/>
                <w:sz w:val="24"/>
                <w:szCs w:val="24"/>
                <w:lang w:val="fr-FR"/>
              </w:rPr>
              <w:t xml:space="preserve">. Elles sont issues des provinces de Bujumbura et </w:t>
            </w:r>
            <w:proofErr w:type="spellStart"/>
            <w:r w:rsidRPr="00B14296">
              <w:rPr>
                <w:color w:val="8EAADB" w:themeColor="accent1" w:themeTint="99"/>
                <w:sz w:val="24"/>
                <w:szCs w:val="24"/>
                <w:lang w:val="fr-FR"/>
              </w:rPr>
              <w:t>Butanyerera</w:t>
            </w:r>
            <w:proofErr w:type="spellEnd"/>
            <w:r w:rsidRPr="00B14296">
              <w:rPr>
                <w:color w:val="8EAADB" w:themeColor="accent1" w:themeTint="99"/>
                <w:sz w:val="24"/>
                <w:szCs w:val="24"/>
                <w:lang w:val="fr-FR"/>
              </w:rPr>
              <w:t xml:space="preserve">. </w:t>
            </w:r>
          </w:p>
          <w:p w:rsidR="002E683D" w:rsidRDefault="002E683D" w:rsidP="00783B9F">
            <w:pPr>
              <w:jc w:val="both"/>
              <w:rPr>
                <w:sz w:val="24"/>
                <w:szCs w:val="24"/>
                <w:lang w:val="fr-FR"/>
              </w:rPr>
            </w:pPr>
          </w:p>
        </w:tc>
      </w:tr>
      <w:tr w:rsidR="002E683D" w:rsidTr="002E683D">
        <w:tc>
          <w:tcPr>
            <w:tcW w:w="7938" w:type="dxa"/>
          </w:tcPr>
          <w:p w:rsidR="002E683D" w:rsidRDefault="002E683D" w:rsidP="002E683D">
            <w:pPr>
              <w:jc w:val="both"/>
              <w:rPr>
                <w:sz w:val="24"/>
                <w:szCs w:val="24"/>
                <w:lang w:val="fr-FR"/>
              </w:rPr>
            </w:pPr>
            <w:r w:rsidRPr="00884C85">
              <w:rPr>
                <w:sz w:val="24"/>
                <w:szCs w:val="24"/>
                <w:lang w:val="fr-FR"/>
              </w:rPr>
              <w:t>2. Combien de futurs formateurs locaux doivent être formés aux modules élaborés ?</w:t>
            </w:r>
          </w:p>
          <w:p w:rsidR="002E683D" w:rsidRDefault="002E683D" w:rsidP="002E683D">
            <w:pPr>
              <w:jc w:val="both"/>
              <w:rPr>
                <w:sz w:val="24"/>
                <w:szCs w:val="24"/>
                <w:lang w:val="fr-FR"/>
              </w:rPr>
            </w:pPr>
          </w:p>
        </w:tc>
        <w:tc>
          <w:tcPr>
            <w:tcW w:w="5949" w:type="dxa"/>
          </w:tcPr>
          <w:p w:rsidR="002E683D" w:rsidRPr="002B4B01" w:rsidRDefault="002E683D" w:rsidP="002E683D">
            <w:pPr>
              <w:jc w:val="both"/>
              <w:rPr>
                <w:color w:val="8EAADB" w:themeColor="accent1" w:themeTint="99"/>
                <w:sz w:val="24"/>
                <w:szCs w:val="24"/>
                <w:lang w:val="fr-FR"/>
              </w:rPr>
            </w:pPr>
            <w:r w:rsidRPr="002B4B01">
              <w:rPr>
                <w:color w:val="8EAADB" w:themeColor="accent1" w:themeTint="99"/>
                <w:sz w:val="24"/>
                <w:szCs w:val="24"/>
                <w:lang w:val="fr-FR"/>
              </w:rPr>
              <w:t xml:space="preserve">Le nombre n’est pas arrêté. Il devrait être compris entre 10 et 15 formateurs.  </w:t>
            </w:r>
          </w:p>
          <w:p w:rsidR="002E683D" w:rsidRDefault="002E683D" w:rsidP="002E683D">
            <w:pPr>
              <w:jc w:val="both"/>
              <w:rPr>
                <w:sz w:val="24"/>
                <w:szCs w:val="24"/>
                <w:lang w:val="fr-FR"/>
              </w:rPr>
            </w:pPr>
          </w:p>
        </w:tc>
      </w:tr>
      <w:tr w:rsidR="002E683D" w:rsidTr="002E683D">
        <w:tc>
          <w:tcPr>
            <w:tcW w:w="7938" w:type="dxa"/>
          </w:tcPr>
          <w:p w:rsidR="002E683D" w:rsidRDefault="002E683D" w:rsidP="002E683D">
            <w:pPr>
              <w:jc w:val="both"/>
              <w:rPr>
                <w:sz w:val="24"/>
                <w:szCs w:val="24"/>
                <w:lang w:val="fr-FR"/>
              </w:rPr>
            </w:pPr>
            <w:r w:rsidRPr="00884C85">
              <w:rPr>
                <w:sz w:val="24"/>
                <w:szCs w:val="24"/>
                <w:lang w:val="fr-FR"/>
              </w:rPr>
              <w:t xml:space="preserve">3. Peut-on compter sur l’appui logistique nécessaire </w:t>
            </w:r>
            <w:r>
              <w:rPr>
                <w:sz w:val="24"/>
                <w:szCs w:val="24"/>
                <w:lang w:val="fr-FR"/>
              </w:rPr>
              <w:t xml:space="preserve">de votre part </w:t>
            </w:r>
            <w:r w:rsidRPr="00884C85">
              <w:rPr>
                <w:sz w:val="24"/>
                <w:szCs w:val="24"/>
                <w:lang w:val="fr-FR"/>
              </w:rPr>
              <w:t xml:space="preserve">(déplacements, rendez-vous, etc.) pour la collecte des informations de terrain </w:t>
            </w:r>
            <w:r>
              <w:rPr>
                <w:sz w:val="24"/>
                <w:szCs w:val="24"/>
                <w:lang w:val="fr-FR"/>
              </w:rPr>
              <w:t xml:space="preserve">et pour la tenue des ateliers de formation/élaboration/validation ? </w:t>
            </w:r>
          </w:p>
          <w:p w:rsidR="002E683D" w:rsidRDefault="002E683D" w:rsidP="002E683D">
            <w:pPr>
              <w:jc w:val="both"/>
              <w:rPr>
                <w:sz w:val="24"/>
                <w:szCs w:val="24"/>
                <w:lang w:val="fr-FR"/>
              </w:rPr>
            </w:pPr>
          </w:p>
        </w:tc>
        <w:tc>
          <w:tcPr>
            <w:tcW w:w="5949" w:type="dxa"/>
          </w:tcPr>
          <w:p w:rsidR="002E683D" w:rsidRPr="002B4B01" w:rsidRDefault="002E683D" w:rsidP="002E683D">
            <w:pPr>
              <w:jc w:val="both"/>
              <w:rPr>
                <w:color w:val="8EAADB" w:themeColor="accent1" w:themeTint="99"/>
                <w:sz w:val="24"/>
                <w:szCs w:val="24"/>
                <w:lang w:val="fr-FR"/>
              </w:rPr>
            </w:pPr>
            <w:r w:rsidRPr="002B4B01">
              <w:rPr>
                <w:color w:val="8EAADB" w:themeColor="accent1" w:themeTint="99"/>
                <w:sz w:val="24"/>
                <w:szCs w:val="24"/>
                <w:lang w:val="fr-FR"/>
              </w:rPr>
              <w:t xml:space="preserve">Cet appui est </w:t>
            </w:r>
            <w:r>
              <w:rPr>
                <w:color w:val="8EAADB" w:themeColor="accent1" w:themeTint="99"/>
                <w:sz w:val="24"/>
                <w:szCs w:val="24"/>
                <w:lang w:val="fr-FR"/>
              </w:rPr>
              <w:t>naturellement envisageable</w:t>
            </w:r>
            <w:r w:rsidRPr="002B4B01">
              <w:rPr>
                <w:color w:val="8EAADB" w:themeColor="accent1" w:themeTint="99"/>
                <w:sz w:val="24"/>
                <w:szCs w:val="24"/>
                <w:lang w:val="fr-FR"/>
              </w:rPr>
              <w:t>. Il sera nécessaire de le préciser dans la proposition méthodologique afin qu’il puisse être prise en compte dans la planification opérationnel d</w:t>
            </w:r>
            <w:r>
              <w:rPr>
                <w:color w:val="8EAADB" w:themeColor="accent1" w:themeTint="99"/>
                <w:sz w:val="24"/>
                <w:szCs w:val="24"/>
                <w:lang w:val="fr-FR"/>
              </w:rPr>
              <w:t xml:space="preserve">e l’équipe </w:t>
            </w:r>
            <w:r w:rsidRPr="002B4B01">
              <w:rPr>
                <w:color w:val="8EAADB" w:themeColor="accent1" w:themeTint="99"/>
                <w:sz w:val="24"/>
                <w:szCs w:val="24"/>
                <w:lang w:val="fr-FR"/>
              </w:rPr>
              <w:t>projet</w:t>
            </w:r>
            <w:r>
              <w:rPr>
                <w:color w:val="8EAADB" w:themeColor="accent1" w:themeTint="99"/>
                <w:sz w:val="24"/>
                <w:szCs w:val="24"/>
                <w:lang w:val="fr-FR"/>
              </w:rPr>
              <w:t xml:space="preserve"> et pris en compte dans l’analyse de la méthodologie</w:t>
            </w:r>
            <w:r w:rsidRPr="002B4B01">
              <w:rPr>
                <w:color w:val="8EAADB" w:themeColor="accent1" w:themeTint="99"/>
                <w:sz w:val="24"/>
                <w:szCs w:val="24"/>
                <w:lang w:val="fr-FR"/>
              </w:rPr>
              <w:t xml:space="preserve">. </w:t>
            </w:r>
          </w:p>
          <w:p w:rsidR="002E683D" w:rsidRDefault="002E683D" w:rsidP="002E683D">
            <w:pPr>
              <w:jc w:val="both"/>
              <w:rPr>
                <w:sz w:val="24"/>
                <w:szCs w:val="24"/>
                <w:lang w:val="fr-FR"/>
              </w:rPr>
            </w:pPr>
          </w:p>
        </w:tc>
      </w:tr>
      <w:tr w:rsidR="002E683D" w:rsidTr="002E683D">
        <w:tc>
          <w:tcPr>
            <w:tcW w:w="7938" w:type="dxa"/>
          </w:tcPr>
          <w:p w:rsidR="002E683D" w:rsidRDefault="002E683D" w:rsidP="002E683D">
            <w:pPr>
              <w:jc w:val="both"/>
              <w:rPr>
                <w:sz w:val="24"/>
                <w:szCs w:val="24"/>
                <w:lang w:val="fr-FR"/>
              </w:rPr>
            </w:pPr>
            <w:r w:rsidRPr="00884C85">
              <w:rPr>
                <w:sz w:val="24"/>
                <w:szCs w:val="24"/>
                <w:lang w:val="fr-FR"/>
              </w:rPr>
              <w:t xml:space="preserve">4. En ingénierie de formation, le bilan de compétences (livrable 1) doit identifier les contenus/compétences manquants des bénéficiaires qui feront l’objet des modules de formation. Cependant, vous avez déjà identifié les thématiques </w:t>
            </w:r>
            <w:r>
              <w:rPr>
                <w:sz w:val="24"/>
                <w:szCs w:val="24"/>
                <w:lang w:val="fr-FR"/>
              </w:rPr>
              <w:t xml:space="preserve">des modules </w:t>
            </w:r>
            <w:r w:rsidRPr="00884C85">
              <w:rPr>
                <w:sz w:val="24"/>
                <w:szCs w:val="24"/>
                <w:lang w:val="fr-FR"/>
              </w:rPr>
              <w:t>et les 3 niveaux de public cible. De plus, dans un souci de conformité, il est nécessaire de quantifier ce travail de modélisation participative en amont</w:t>
            </w:r>
            <w:r>
              <w:rPr>
                <w:sz w:val="24"/>
                <w:szCs w:val="24"/>
                <w:lang w:val="fr-FR"/>
              </w:rPr>
              <w:t xml:space="preserve">, cela nous amène forcement à </w:t>
            </w:r>
            <w:r w:rsidRPr="00884C85">
              <w:rPr>
                <w:sz w:val="24"/>
                <w:szCs w:val="24"/>
                <w:lang w:val="fr-FR"/>
              </w:rPr>
              <w:t>limiter dans l'offre le nombre de modules pouvant être développés. Merci de confirmer</w:t>
            </w:r>
            <w:r>
              <w:rPr>
                <w:sz w:val="24"/>
                <w:szCs w:val="24"/>
                <w:lang w:val="fr-FR"/>
              </w:rPr>
              <w:t xml:space="preserve"> </w:t>
            </w:r>
            <w:proofErr w:type="gramStart"/>
            <w:r>
              <w:rPr>
                <w:sz w:val="24"/>
                <w:szCs w:val="24"/>
                <w:lang w:val="fr-FR"/>
              </w:rPr>
              <w:t>qu’un telle approche</w:t>
            </w:r>
            <w:proofErr w:type="gramEnd"/>
            <w:r>
              <w:rPr>
                <w:sz w:val="24"/>
                <w:szCs w:val="24"/>
                <w:lang w:val="fr-FR"/>
              </w:rPr>
              <w:t xml:space="preserve"> est acceptable pour vous</w:t>
            </w:r>
            <w:r w:rsidRPr="00884C85">
              <w:rPr>
                <w:sz w:val="24"/>
                <w:szCs w:val="24"/>
                <w:lang w:val="fr-FR"/>
              </w:rPr>
              <w:t>.</w:t>
            </w:r>
          </w:p>
          <w:p w:rsidR="002E683D" w:rsidRDefault="002E683D" w:rsidP="002E683D">
            <w:pPr>
              <w:jc w:val="both"/>
              <w:rPr>
                <w:sz w:val="24"/>
                <w:szCs w:val="24"/>
                <w:lang w:val="fr-FR"/>
              </w:rPr>
            </w:pPr>
          </w:p>
        </w:tc>
        <w:tc>
          <w:tcPr>
            <w:tcW w:w="5949" w:type="dxa"/>
          </w:tcPr>
          <w:p w:rsidR="002E683D" w:rsidRPr="00EB4AEA" w:rsidRDefault="002E683D" w:rsidP="002E683D">
            <w:pPr>
              <w:jc w:val="both"/>
              <w:rPr>
                <w:sz w:val="24"/>
                <w:szCs w:val="24"/>
                <w:lang w:val="fr-FR"/>
              </w:rPr>
            </w:pPr>
            <w:r w:rsidRPr="00EB4AEA">
              <w:rPr>
                <w:color w:val="8EAADB" w:themeColor="accent1" w:themeTint="99"/>
                <w:sz w:val="24"/>
                <w:szCs w:val="24"/>
                <w:lang w:val="fr-FR"/>
              </w:rPr>
              <w:t>Les propositions de thématiques et le nombre de modules définis à ce stade pourront être ajustés en fonction des conclusions du bilan de compétences. Cette phase initiale permettra de préciser et de confirmer les besoins réels en compétences des différents publics cibles, de sorte que les contenus finaux des modules de formation soient parfaitement alignés avec les lacunes identifiées. L’approche que vous proposez, incluant une modélisation participative, est donc acceptable et même encouragée pour affiner le contenu des modules sur la base de cette analyse approfondie</w:t>
            </w:r>
          </w:p>
          <w:p w:rsidR="002E683D" w:rsidRDefault="002E683D" w:rsidP="002E683D">
            <w:pPr>
              <w:jc w:val="both"/>
              <w:rPr>
                <w:sz w:val="24"/>
                <w:szCs w:val="24"/>
                <w:lang w:val="fr-FR"/>
              </w:rPr>
            </w:pPr>
          </w:p>
        </w:tc>
      </w:tr>
      <w:tr w:rsidR="002E683D" w:rsidTr="002E683D">
        <w:tc>
          <w:tcPr>
            <w:tcW w:w="7938" w:type="dxa"/>
          </w:tcPr>
          <w:p w:rsidR="002E683D" w:rsidRDefault="002E683D" w:rsidP="002E683D">
            <w:pPr>
              <w:jc w:val="both"/>
              <w:rPr>
                <w:sz w:val="24"/>
                <w:szCs w:val="24"/>
                <w:lang w:val="fr-FR"/>
              </w:rPr>
            </w:pPr>
            <w:r w:rsidRPr="00884C85">
              <w:rPr>
                <w:sz w:val="24"/>
                <w:szCs w:val="24"/>
                <w:lang w:val="fr-FR"/>
              </w:rPr>
              <w:lastRenderedPageBreak/>
              <w:t xml:space="preserve">5. Avez-vous la garantie de la disponibilité et de la participation </w:t>
            </w:r>
            <w:r>
              <w:rPr>
                <w:sz w:val="24"/>
                <w:szCs w:val="24"/>
                <w:lang w:val="fr-FR"/>
              </w:rPr>
              <w:t xml:space="preserve">active </w:t>
            </w:r>
            <w:r w:rsidRPr="00884C85">
              <w:rPr>
                <w:sz w:val="24"/>
                <w:szCs w:val="24"/>
                <w:lang w:val="fr-FR"/>
              </w:rPr>
              <w:t>d'un groupe conséquent d'agents communaux ad hoc (</w:t>
            </w:r>
            <w:r>
              <w:rPr>
                <w:sz w:val="24"/>
                <w:szCs w:val="24"/>
                <w:lang w:val="fr-FR"/>
              </w:rPr>
              <w:t>5 personnes - ressources par thématique</w:t>
            </w:r>
            <w:r w:rsidRPr="00884C85">
              <w:rPr>
                <w:sz w:val="24"/>
                <w:szCs w:val="24"/>
                <w:lang w:val="fr-FR"/>
              </w:rPr>
              <w:t xml:space="preserve">) entre janvier et </w:t>
            </w:r>
            <w:r>
              <w:rPr>
                <w:sz w:val="24"/>
                <w:szCs w:val="24"/>
                <w:lang w:val="fr-FR"/>
              </w:rPr>
              <w:t>mai</w:t>
            </w:r>
            <w:r w:rsidRPr="00884C85">
              <w:rPr>
                <w:sz w:val="24"/>
                <w:szCs w:val="24"/>
                <w:lang w:val="fr-FR"/>
              </w:rPr>
              <w:t xml:space="preserve"> 2025 pour travailler sur les étapes </w:t>
            </w:r>
            <w:r>
              <w:rPr>
                <w:sz w:val="24"/>
                <w:szCs w:val="24"/>
                <w:lang w:val="fr-FR"/>
              </w:rPr>
              <w:t>d’élaboration/coaching des modules</w:t>
            </w:r>
            <w:r w:rsidRPr="00884C85">
              <w:rPr>
                <w:sz w:val="24"/>
                <w:szCs w:val="24"/>
                <w:lang w:val="fr-FR"/>
              </w:rPr>
              <w:t xml:space="preserve"> ? Cela nous semble être une condition de base </w:t>
            </w:r>
            <w:r>
              <w:rPr>
                <w:sz w:val="24"/>
                <w:szCs w:val="24"/>
                <w:lang w:val="fr-FR"/>
              </w:rPr>
              <w:t xml:space="preserve">afin d’assurer la </w:t>
            </w:r>
            <w:r w:rsidRPr="00884C85">
              <w:rPr>
                <w:sz w:val="24"/>
                <w:szCs w:val="24"/>
                <w:lang w:val="fr-FR"/>
              </w:rPr>
              <w:t xml:space="preserve">pertinence </w:t>
            </w:r>
            <w:r>
              <w:rPr>
                <w:sz w:val="24"/>
                <w:szCs w:val="24"/>
                <w:lang w:val="fr-FR"/>
              </w:rPr>
              <w:t>et la contextualisation cherchée, ainsi qu’</w:t>
            </w:r>
            <w:r w:rsidRPr="00884C85">
              <w:rPr>
                <w:sz w:val="24"/>
                <w:szCs w:val="24"/>
                <w:lang w:val="fr-FR"/>
              </w:rPr>
              <w:t>un risque important pour la réussite du projet.</w:t>
            </w:r>
          </w:p>
          <w:p w:rsidR="002E683D" w:rsidRPr="00884C85" w:rsidRDefault="002E683D" w:rsidP="002E683D">
            <w:pPr>
              <w:jc w:val="both"/>
              <w:rPr>
                <w:sz w:val="24"/>
                <w:szCs w:val="24"/>
                <w:lang w:val="fr-FR"/>
              </w:rPr>
            </w:pPr>
          </w:p>
        </w:tc>
        <w:tc>
          <w:tcPr>
            <w:tcW w:w="5949" w:type="dxa"/>
          </w:tcPr>
          <w:p w:rsidR="002E683D" w:rsidRPr="00296E8F" w:rsidRDefault="002E683D" w:rsidP="002E683D">
            <w:pPr>
              <w:jc w:val="both"/>
              <w:rPr>
                <w:color w:val="8EAADB" w:themeColor="accent1" w:themeTint="99"/>
                <w:sz w:val="24"/>
                <w:szCs w:val="24"/>
                <w:lang w:val="fr-BE"/>
              </w:rPr>
            </w:pPr>
            <w:r w:rsidRPr="00296E8F">
              <w:rPr>
                <w:color w:val="8EAADB" w:themeColor="accent1" w:themeTint="99"/>
                <w:sz w:val="24"/>
                <w:szCs w:val="24"/>
                <w:lang w:val="fr-BE"/>
              </w:rPr>
              <w:t>Cette condition sera discutée avec les services compétents du Ministère de l'Intérieur afin de garantir, autant que possible, la disponibilité et la participation active d’un groupe d'</w:t>
            </w:r>
            <w:r>
              <w:rPr>
                <w:color w:val="8EAADB" w:themeColor="accent1" w:themeTint="99"/>
                <w:sz w:val="24"/>
                <w:szCs w:val="24"/>
                <w:lang w:val="fr-BE"/>
              </w:rPr>
              <w:t xml:space="preserve">élus et </w:t>
            </w:r>
            <w:r w:rsidRPr="00296E8F">
              <w:rPr>
                <w:color w:val="8EAADB" w:themeColor="accent1" w:themeTint="99"/>
                <w:sz w:val="24"/>
                <w:szCs w:val="24"/>
                <w:lang w:val="fr-BE"/>
              </w:rPr>
              <w:t xml:space="preserve">agents communaux ad hoc entre janvier et mai 2025. Nous attirons cependant votre attention sur le fait que, plus la date des élections communales approchera, plus la mobilisation des agents concernés pourra s'avérer complexe.  </w:t>
            </w:r>
          </w:p>
          <w:p w:rsidR="002E683D" w:rsidRPr="00EB4AEA" w:rsidRDefault="002E683D" w:rsidP="002E683D">
            <w:pPr>
              <w:jc w:val="both"/>
              <w:rPr>
                <w:color w:val="8EAADB" w:themeColor="accent1" w:themeTint="99"/>
                <w:sz w:val="24"/>
                <w:szCs w:val="24"/>
                <w:lang w:val="fr-FR"/>
              </w:rPr>
            </w:pPr>
          </w:p>
        </w:tc>
      </w:tr>
      <w:tr w:rsidR="002E683D" w:rsidTr="002E683D">
        <w:tc>
          <w:tcPr>
            <w:tcW w:w="7938" w:type="dxa"/>
          </w:tcPr>
          <w:p w:rsidR="002E683D" w:rsidRDefault="002E683D" w:rsidP="002E683D">
            <w:pPr>
              <w:jc w:val="both"/>
              <w:rPr>
                <w:sz w:val="24"/>
                <w:szCs w:val="24"/>
                <w:lang w:val="fr-FR"/>
              </w:rPr>
            </w:pPr>
            <w:r>
              <w:rPr>
                <w:sz w:val="24"/>
                <w:szCs w:val="24"/>
                <w:lang w:val="fr-FR"/>
              </w:rPr>
              <w:t xml:space="preserve">6. Est-ce que la formation de formateurs est prévue comme une activité en soi (à part </w:t>
            </w:r>
            <w:proofErr w:type="gramStart"/>
            <w:r>
              <w:rPr>
                <w:sz w:val="24"/>
                <w:szCs w:val="24"/>
                <w:lang w:val="fr-FR"/>
              </w:rPr>
              <w:t>entière)  ou</w:t>
            </w:r>
            <w:proofErr w:type="gramEnd"/>
            <w:r>
              <w:rPr>
                <w:sz w:val="24"/>
                <w:szCs w:val="24"/>
                <w:lang w:val="fr-FR"/>
              </w:rPr>
              <w:t xml:space="preserve"> elle peut être intégrée à l’activité d’élaboration des modules ? </w:t>
            </w:r>
          </w:p>
          <w:p w:rsidR="002E683D" w:rsidRPr="00884C85" w:rsidRDefault="002E683D" w:rsidP="002E683D">
            <w:pPr>
              <w:jc w:val="both"/>
              <w:rPr>
                <w:sz w:val="24"/>
                <w:szCs w:val="24"/>
                <w:lang w:val="fr-FR"/>
              </w:rPr>
            </w:pPr>
          </w:p>
        </w:tc>
        <w:tc>
          <w:tcPr>
            <w:tcW w:w="5949" w:type="dxa"/>
          </w:tcPr>
          <w:p w:rsidR="002E683D" w:rsidRPr="00F05429" w:rsidRDefault="002E683D" w:rsidP="002E683D">
            <w:pPr>
              <w:jc w:val="both"/>
              <w:rPr>
                <w:color w:val="8EAADB" w:themeColor="accent1" w:themeTint="99"/>
                <w:sz w:val="24"/>
                <w:szCs w:val="24"/>
                <w:lang w:val="fr-BE"/>
              </w:rPr>
            </w:pPr>
            <w:r w:rsidRPr="00F05429">
              <w:rPr>
                <w:color w:val="8EAADB" w:themeColor="accent1" w:themeTint="99"/>
                <w:sz w:val="24"/>
                <w:szCs w:val="24"/>
                <w:lang w:val="fr-BE"/>
              </w:rPr>
              <w:t>Les deux solutions peuvent être envisagées</w:t>
            </w:r>
            <w:r>
              <w:rPr>
                <w:color w:val="8EAADB" w:themeColor="accent1" w:themeTint="99"/>
                <w:sz w:val="24"/>
                <w:szCs w:val="24"/>
                <w:lang w:val="fr-BE"/>
              </w:rPr>
              <w:t xml:space="preserve">. Ce point pourra faire l’objet de discussion durant la </w:t>
            </w:r>
            <w:r w:rsidRPr="00F05429">
              <w:rPr>
                <w:color w:val="8EAADB" w:themeColor="accent1" w:themeTint="99"/>
                <w:sz w:val="24"/>
                <w:szCs w:val="24"/>
                <w:lang w:val="fr-BE"/>
              </w:rPr>
              <w:t xml:space="preserve">phase de cadrage. </w:t>
            </w:r>
          </w:p>
          <w:p w:rsidR="002E683D" w:rsidRPr="00296E8F" w:rsidRDefault="002E683D" w:rsidP="002E683D">
            <w:pPr>
              <w:jc w:val="both"/>
              <w:rPr>
                <w:color w:val="8EAADB" w:themeColor="accent1" w:themeTint="99"/>
                <w:sz w:val="24"/>
                <w:szCs w:val="24"/>
                <w:lang w:val="fr-BE"/>
              </w:rPr>
            </w:pPr>
          </w:p>
        </w:tc>
      </w:tr>
      <w:tr w:rsidR="002E683D" w:rsidTr="002E683D">
        <w:tc>
          <w:tcPr>
            <w:tcW w:w="7938" w:type="dxa"/>
          </w:tcPr>
          <w:p w:rsidR="002E683D" w:rsidRDefault="002E683D" w:rsidP="002E683D">
            <w:pPr>
              <w:jc w:val="both"/>
              <w:rPr>
                <w:sz w:val="24"/>
                <w:szCs w:val="24"/>
                <w:lang w:val="fr-FR"/>
              </w:rPr>
            </w:pPr>
            <w:r>
              <w:rPr>
                <w:sz w:val="24"/>
                <w:szCs w:val="24"/>
                <w:lang w:val="fr-FR"/>
              </w:rPr>
              <w:t xml:space="preserve">7. La validation des modules attendue, est-ce qu’elle est un préalable à la phase </w:t>
            </w:r>
            <w:proofErr w:type="gramStart"/>
            <w:r>
              <w:rPr>
                <w:sz w:val="24"/>
                <w:szCs w:val="24"/>
                <w:lang w:val="fr-FR"/>
              </w:rPr>
              <w:t>de  formation</w:t>
            </w:r>
            <w:proofErr w:type="gramEnd"/>
            <w:r>
              <w:rPr>
                <w:sz w:val="24"/>
                <w:szCs w:val="24"/>
                <w:lang w:val="fr-FR"/>
              </w:rPr>
              <w:t xml:space="preserve"> de formateurs ? Qui s’en charge de cette validation ? Le consultant peut s’engager que à la validation pédagogique des modules. Merci de clarifier.</w:t>
            </w:r>
          </w:p>
          <w:p w:rsidR="002E683D" w:rsidRDefault="002E683D" w:rsidP="002E683D">
            <w:pPr>
              <w:jc w:val="both"/>
              <w:rPr>
                <w:sz w:val="24"/>
                <w:szCs w:val="24"/>
                <w:lang w:val="fr-FR"/>
              </w:rPr>
            </w:pPr>
          </w:p>
        </w:tc>
        <w:tc>
          <w:tcPr>
            <w:tcW w:w="5949" w:type="dxa"/>
          </w:tcPr>
          <w:p w:rsidR="002E683D" w:rsidRPr="0045313B" w:rsidRDefault="002E683D" w:rsidP="002E683D">
            <w:pPr>
              <w:jc w:val="both"/>
              <w:rPr>
                <w:color w:val="8EAADB" w:themeColor="accent1" w:themeTint="99"/>
                <w:sz w:val="24"/>
                <w:szCs w:val="24"/>
                <w:lang w:val="fr-BE"/>
              </w:rPr>
            </w:pPr>
            <w:r w:rsidRPr="0045313B">
              <w:rPr>
                <w:color w:val="8EAADB" w:themeColor="accent1" w:themeTint="99"/>
                <w:sz w:val="24"/>
                <w:szCs w:val="24"/>
                <w:lang w:val="fr-BE"/>
              </w:rPr>
              <w:t xml:space="preserve">Le CSC prévoit </w:t>
            </w:r>
            <w:r>
              <w:rPr>
                <w:color w:val="8EAADB" w:themeColor="accent1" w:themeTint="99"/>
                <w:sz w:val="24"/>
                <w:szCs w:val="24"/>
                <w:lang w:val="fr-BE"/>
              </w:rPr>
              <w:t>un comité technique « p</w:t>
            </w:r>
            <w:r w:rsidRPr="0045313B">
              <w:rPr>
                <w:color w:val="8EAADB" w:themeColor="accent1" w:themeTint="99"/>
                <w:sz w:val="24"/>
                <w:szCs w:val="24"/>
                <w:lang w:val="fr-BE"/>
              </w:rPr>
              <w:t>our assurer un suivi rigoureux et coordonné de l'exécution de la prestation liée à la structuration de l’offre de formation des agents des communes burundaises, un comité technique sera mis en place. Ce comité jouera un rôle essentiel dans la supervision, l’accompagnement et la validation des travaux réalisés par le prestataire. Il associera divers acteurs clés concernés par les réformes de la décentralisation et du renforcement des capacités.</w:t>
            </w:r>
            <w:r>
              <w:rPr>
                <w:color w:val="8EAADB" w:themeColor="accent1" w:themeTint="99"/>
                <w:sz w:val="24"/>
                <w:szCs w:val="24"/>
                <w:lang w:val="fr-BE"/>
              </w:rPr>
              <w:t> »</w:t>
            </w:r>
          </w:p>
          <w:p w:rsidR="002E683D" w:rsidRPr="00F05429" w:rsidRDefault="002E683D" w:rsidP="002E683D">
            <w:pPr>
              <w:jc w:val="both"/>
              <w:rPr>
                <w:color w:val="8EAADB" w:themeColor="accent1" w:themeTint="99"/>
                <w:sz w:val="24"/>
                <w:szCs w:val="24"/>
                <w:lang w:val="fr-BE"/>
              </w:rPr>
            </w:pPr>
          </w:p>
        </w:tc>
      </w:tr>
    </w:tbl>
    <w:p w:rsidR="002E683D" w:rsidRDefault="002E683D" w:rsidP="002E683D">
      <w:pPr>
        <w:jc w:val="both"/>
        <w:rPr>
          <w:sz w:val="24"/>
          <w:szCs w:val="24"/>
          <w:lang w:val="fr-FR"/>
        </w:rPr>
      </w:pPr>
    </w:p>
    <w:p w:rsidR="002E683D" w:rsidRDefault="002E683D" w:rsidP="002E683D">
      <w:pPr>
        <w:jc w:val="both"/>
        <w:rPr>
          <w:sz w:val="24"/>
          <w:szCs w:val="24"/>
          <w:lang w:val="fr-FR"/>
        </w:rPr>
      </w:pPr>
      <w:r>
        <w:rPr>
          <w:sz w:val="24"/>
          <w:szCs w:val="24"/>
          <w:lang w:val="fr-FR"/>
        </w:rPr>
        <w:tab/>
      </w:r>
      <w:r>
        <w:rPr>
          <w:sz w:val="24"/>
          <w:szCs w:val="24"/>
          <w:lang w:val="fr-FR"/>
        </w:rPr>
        <w:tab/>
      </w:r>
      <w:r>
        <w:rPr>
          <w:sz w:val="24"/>
          <w:szCs w:val="24"/>
          <w:lang w:val="fr-FR"/>
        </w:rPr>
        <w:tab/>
      </w:r>
    </w:p>
    <w:p w:rsidR="002E683D" w:rsidRPr="002E683D" w:rsidRDefault="002E683D">
      <w:pPr>
        <w:rPr>
          <w:lang w:val="fr-FR"/>
        </w:rPr>
      </w:pPr>
    </w:p>
    <w:sectPr w:rsidR="002E683D" w:rsidRPr="002E683D" w:rsidSect="002E683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3D"/>
    <w:rsid w:val="002E683D"/>
    <w:rsid w:val="00DB30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5670B"/>
  <w15:chartTrackingRefBased/>
  <w15:docId w15:val="{3E1CFFA0-DD58-49F4-988D-DE26A309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83D"/>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E6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622</Words>
  <Characters>3426</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AGNANDJI, Gbeyigbena</dc:creator>
  <cp:keywords/>
  <dc:description/>
  <cp:lastModifiedBy>AGNANDJI, Gbeyigbena</cp:lastModifiedBy>
  <cp:revision>1</cp:revision>
  <dcterms:created xsi:type="dcterms:W3CDTF">2024-10-31T15:54:00Z</dcterms:created>
  <dcterms:modified xsi:type="dcterms:W3CDTF">2024-10-31T15:59:00Z</dcterms:modified>
</cp:coreProperties>
</file>